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80391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03916" w:rsidRDefault="0011124D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803916" w:rsidRDefault="0011124D">
            <w:pPr>
              <w:spacing w:after="0" w:line="240" w:lineRule="auto"/>
            </w:pPr>
            <w:r>
              <w:t>2967</w:t>
            </w:r>
          </w:p>
        </w:tc>
      </w:tr>
      <w:tr w:rsidR="0080391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03916" w:rsidRDefault="0011124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803916" w:rsidRDefault="0011124D">
            <w:pPr>
              <w:spacing w:after="0" w:line="240" w:lineRule="auto"/>
            </w:pPr>
            <w:r>
              <w:t>HRVATSKI ŠUMARSKI INSTITUT</w:t>
            </w:r>
          </w:p>
        </w:tc>
      </w:tr>
      <w:tr w:rsidR="0080391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03916" w:rsidRDefault="0011124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803916" w:rsidRDefault="0011124D">
            <w:pPr>
              <w:spacing w:after="0" w:line="240" w:lineRule="auto"/>
            </w:pPr>
            <w:r>
              <w:t>11</w:t>
            </w:r>
          </w:p>
        </w:tc>
      </w:tr>
    </w:tbl>
    <w:p w:rsidR="00803916" w:rsidRDefault="0011124D">
      <w:r>
        <w:br/>
      </w:r>
    </w:p>
    <w:p w:rsidR="00803916" w:rsidRDefault="0011124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803916" w:rsidRDefault="0011124D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803916" w:rsidRDefault="0011124D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803916" w:rsidRDefault="00803916"/>
    <w:p w:rsidR="00803916" w:rsidRDefault="0011124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803916" w:rsidRDefault="0011124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039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39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4.595.436,65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4.799.165,53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104,4</w:t>
            </w:r>
          </w:p>
        </w:tc>
      </w:tr>
      <w:tr w:rsidR="008039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4.023.836,99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4.498.438,88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111,8</w:t>
            </w:r>
          </w:p>
        </w:tc>
      </w:tr>
      <w:tr w:rsidR="008039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3916" w:rsidRDefault="0080391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571.599,66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300.726,65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52,6</w:t>
            </w:r>
          </w:p>
        </w:tc>
      </w:tr>
      <w:tr w:rsidR="008039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8039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366.899,35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352.647,46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96,1</w:t>
            </w:r>
          </w:p>
        </w:tc>
      </w:tr>
      <w:tr w:rsidR="008039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3916" w:rsidRDefault="0080391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366.898,55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352.647,46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96,1</w:t>
            </w:r>
          </w:p>
        </w:tc>
      </w:tr>
      <w:tr w:rsidR="008039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039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039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3916" w:rsidRDefault="0080391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039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3916" w:rsidRDefault="0080391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51.920,81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803916" w:rsidRDefault="00803916">
      <w:pPr>
        <w:spacing w:after="0"/>
      </w:pPr>
    </w:p>
    <w:p w:rsidR="00803916" w:rsidRDefault="0011124D">
      <w:r>
        <w:t xml:space="preserve">U 2025.godini u razdoblju od 01.01.2025.-31.12.2025. godine  Hrvatski šumarski institut, ostvario je ukupno prihoda u iznosu   </w:t>
      </w:r>
      <w:r>
        <w:rPr>
          <w:b/>
        </w:rPr>
        <w:t>4.799.165,53 EUR</w:t>
      </w:r>
      <w:r>
        <w:t xml:space="preserve"> , u istom razdoblju prošle godine 2024. ostvareno je </w:t>
      </w:r>
      <w:r>
        <w:rPr>
          <w:b/>
        </w:rPr>
        <w:t>4.595.437,45 EUR. </w:t>
      </w:r>
    </w:p>
    <w:p w:rsidR="00803916" w:rsidRDefault="0011124D">
      <w:r>
        <w:rPr>
          <w:b/>
          <w:i/>
        </w:rPr>
        <w:lastRenderedPageBreak/>
        <w:t xml:space="preserve">Ostvareni prihodi u navedenom razdoblju </w:t>
      </w:r>
      <w:r>
        <w:rPr>
          <w:b/>
          <w:i/>
        </w:rPr>
        <w:t>ostvareni su na kontima:</w:t>
      </w:r>
    </w:p>
    <w:p w:rsidR="00803916" w:rsidRDefault="0011124D">
      <w:r>
        <w:rPr>
          <w:b/>
        </w:rPr>
        <w:t xml:space="preserve">1. Konto skupine 63 Pomoći iz inozemstva i od subjekata unutar općeg proračuna  iznosi  1.050.317,46 EUR </w:t>
      </w:r>
      <w:r>
        <w:t>Sastoji se od slijedećih  konta: 6323 Prihodi do 31.12.2025. godine  ostvareni po  projektu H2020 Superb u iznosu od 66.087,27</w:t>
      </w:r>
      <w:r>
        <w:t xml:space="preserve"> eur uplatitelj EFI,  projektu Horizon Transformit u iznosu od 105.060,27 eur uplatitelj EFI, projektu Erasmus Agro u iznosu od 6.740,00 eur, uplatitelj Universitet Beograd, , projekt OAKS iznos 36.124,12 eur, uplatitelj EFI, projekt Horizon Resonate iznos</w:t>
      </w:r>
      <w:r>
        <w:t xml:space="preserve"> 18.836,56 eur, uplatitelj EFI, projekt Clearing House u iznosu od 8.434,38 eur uplatitelj EFIm projekt LIFE u iznosu od 30.775,26 eura uplatitelj Univer. Firenza i projekt REBIFOREST u iznosu od 23.348,24 eura. 6361 Tekuće pomoći proračunskim korisnicima </w:t>
      </w:r>
      <w:r>
        <w:t>iz proračuna koji im nije nadležan ostvareno je 45.682,45 EUR.-a. Uplatitelji grad Varaždin i grad Otok, te Krapinsko-zagorska županija ,Vukovarsko-srijemska županija, grad Ivanec, Istarska županija  za financiranje istraživačkog centra Vinkovci ,istraživa</w:t>
      </w:r>
      <w:r>
        <w:t>čkog centra Koprivnica i istraživačkog centra Pazin 6381 Tekuće pomoći temeljem EU sredstava ostvareno je 76.246,97 eura. Prihod je ostvaren za projekt FORESIST, a uplatitelj je Grad Opatija. 6391 Tekući  prijenosi između proračunskih korisnika istog prora</w:t>
      </w:r>
      <w:r>
        <w:t>čuna ostvareno je 568.160,29 EUR. Prihod od Hrvatske zaklade za znanost koja je od 2022. godine proračunski korisnik. Povećanje obzirom na prethodnu godinu zbog uspostave 3 nova HRZZ projekta. Uplate Ministarstva poljoprivrede za projekte – poslovi u šumar</w:t>
      </w:r>
      <w:r>
        <w:t xml:space="preserve">stvu i posebni nadzori štetnih organizama. 6393 Tekući prijenosi između proračunskih korisnika istog proračuna temeljem prijenosa EU sredstava.  Ostvareno je 64.821,65 EUR. Prihodi Agencije za plaćanje u poljoprivredi, ribarstvu i ruralnom razvoju, a radi </w:t>
      </w:r>
      <w:r>
        <w:t>se o isplaćenim potporama. Prihod HRZZ-a plaće po projektu.</w:t>
      </w:r>
    </w:p>
    <w:p w:rsidR="00803916" w:rsidRDefault="0011124D">
      <w:r>
        <w:rPr>
          <w:b/>
        </w:rPr>
        <w:t xml:space="preserve">2. Konto skupine  66 Prihodi od prodaje proizvoda i robe te pruženih usluga i prihodi od donacija  ostvareno je  821.530,50 EUR  te se sastoji od slijedećih konta: </w:t>
      </w:r>
      <w:r>
        <w:t>6614 Prihod od prodaje proizvoda</w:t>
      </w:r>
      <w:r>
        <w:t xml:space="preserve"> i robe Ostvaren je prihod u iznosu od 105.365,65 eura, a odnosi se prvenstveno na maloprodaju HŠI-a. 6615 Prihod od pruženih usluga Ostvaren je prihod u iznosu od 711.664,85 eura. Prihod je u prethodnom razdoblju iznosio 468.115,16 eura što znači da je u </w:t>
      </w:r>
      <w:r>
        <w:t>ovom razdoblju došlo do značajnog povećanja obzirom na veći broj novih ugovorenih projekata na tržištu. 6631 Tekuće donacije Ostvaren prihod u iznosu od 4.500,00 eura, a odnosi se na donacije Hrvatske komore inženjera šumarstva i drvne tehnologije, grada J</w:t>
      </w:r>
      <w:r>
        <w:t>astrebarskog za organizaciju Dana otvorenih vrata, te uplata HKIŠDT za 6. simpozij invazivnih vrsta.</w:t>
      </w:r>
    </w:p>
    <w:p w:rsidR="00803916" w:rsidRDefault="0011124D">
      <w:r>
        <w:rPr>
          <w:b/>
        </w:rPr>
        <w:t xml:space="preserve">3. Konto skupine 67 Prihodi iz nadležnog proračuna i od HZZO-a temeljem ugovornih obveza iznose 2.848.183,34 EUR. </w:t>
      </w:r>
      <w:r>
        <w:t>Sastoje se od konta  6711 Prihodi iz nadl</w:t>
      </w:r>
      <w:r>
        <w:t>ežnog proračuna za financiranje rashoda poslovanja u iznosu od 2.848.183,34 EUR. 671110581 Prihodi iz nadležnog proračuna – tek.pomoći od institucija EU-NPOO. Ostvaren je prihod u iznosu od 79.900,00 eura za ugovorene projekte NPOO (iznos koje je naveden u</w:t>
      </w:r>
      <w:r>
        <w:t xml:space="preserve"> Ugovoru po godinama).</w:t>
      </w:r>
      <w:r>
        <w:rPr>
          <w:b/>
        </w:rPr>
        <w:t>4. Konto skupine 68 na kontu 6831 Ostali prihodi ostvareno je 79.134,23 EUR. Povrati sredstava od zaposlenika za korištenje službenih mobitela, refundacija troškova po projektima; časopis SEEFOR, kotizacije za konferenciju.</w:t>
      </w:r>
    </w:p>
    <w:p w:rsidR="00803916" w:rsidRDefault="0011124D">
      <w:r>
        <w:rPr>
          <w:b/>
        </w:rPr>
        <w:t xml:space="preserve">  </w:t>
      </w:r>
      <w:r>
        <w:rPr>
          <w:b/>
          <w:i/>
        </w:rPr>
        <w:t>Što se t</w:t>
      </w:r>
      <w:r>
        <w:rPr>
          <w:b/>
          <w:i/>
        </w:rPr>
        <w:t>iče ukupnih rashoda, u 2025. iznosili su  4.498.438,88 EUR u istom razdoblju prošle godine 2024. ostvareno je  4.023.836,99  EUR. </w:t>
      </w:r>
    </w:p>
    <w:p w:rsidR="00803916" w:rsidRDefault="0011124D">
      <w:r>
        <w:lastRenderedPageBreak/>
        <w:t>1.Realizirani rashodi na kontu 31 Rashodi za zaposlene su 3.377.627,54 EUR, a prošle godine u istom razdoblju ostvareno je 2.</w:t>
      </w:r>
      <w:r>
        <w:t>948.823,96 EUR. Povećanje u ovom razdoblju je zbog povećanja plaća (osnovica) te ostalih rashoda za zaposlene. 2. Konto 32 Materijalni rashodi iznosi 1.096.115,17 EUR.U materijalne rashode ubrajaju se regresa, materijalnih prava, nabava radne odjeće i obuć</w:t>
      </w:r>
      <w:r>
        <w:t>e za djelatnike instituta, materijal i dijelovi za tekuće i investicijsko održavanje te ostalih materijalnih rashoda, a prvenstveno zbog velikog broja novih projekata koji su dogovoreni i realizirani  u 2025. godini. 3.Konto 34 Financijski rashodi iznose 8</w:t>
      </w:r>
      <w:r>
        <w:t>.448,10  EUR. 4.Na kontu 42 Rashodi za nabavu proizvedene dugotrajne imovine iznose 352.647,46 EUR te se odnose na instrumente i uređaje vezano za projekte NPOO, uredsku opremu i namještaj, komunikacijsku opremu te nabavu uređaja i opreme za projekte u tij</w:t>
      </w:r>
      <w:r>
        <w:t>eku (plastenik, računala i računalna oprema prvenstveno za novozaposlene djelatnike po projektima, uredski namještaj za iste, hladnjak za projekte, liofilizator, meteopostaja, visinomjer, GNSS uređaj s opremom, klima komora, CNS928-MLC,  sušionik, kontejne</w:t>
      </w:r>
      <w:r>
        <w:t>r i ostala oprema koja je potrebna za radu sklopu dogovorenih projekata ).</w:t>
      </w:r>
    </w:p>
    <w:p w:rsidR="00803916" w:rsidRDefault="0011124D">
      <w:r>
        <w:t>Stanje novčanih sredstava na početku izvještajnog razdoblja: ostvareno u izvještajnom razdoblju pret.god: 872.039,21 EUR-a; ostvareno u izvještajnom razdoblju tekuće g. 1.100.875,84</w:t>
      </w:r>
      <w:r>
        <w:t xml:space="preserve"> EUR-a. Stanje novčanih sredstava na kraju izvj.razdoblja: ostvareno u izvj. razdoblju prethodne g.: 1.100.875,84 EUR-a; ostvareno u izvještajnom razdoblju tekuće godine 1.182.295,18 EUR-a.</w:t>
      </w:r>
    </w:p>
    <w:p w:rsidR="00803916" w:rsidRDefault="0011124D">
      <w:r>
        <w:rPr>
          <w:b/>
        </w:rPr>
        <w:t xml:space="preserve">RAS – funkcijski </w:t>
      </w:r>
      <w:r>
        <w:t xml:space="preserve">povećanje rashoda u odnosu na proteklo razdoblje </w:t>
      </w:r>
      <w:r>
        <w:t>– povećanje vlastitih prihoda</w:t>
      </w:r>
    </w:p>
    <w:p w:rsidR="00803916" w:rsidRDefault="0011124D">
      <w:r>
        <w:t>Prihodi poslovanja:4.595.436,65 Izvršenje 2024.;4.280.364,00 ;Izvorni plan 2025 4.799.165,53 Izvršenje 2026 Prihodi od prodaje nefinancijske imovine:0,80 Izvršenje 2024., 0,00 Izvorni plan 2025, 0,80 Izvršenje 2026</w:t>
      </w:r>
    </w:p>
    <w:p w:rsidR="00803916" w:rsidRDefault="0011124D">
      <w:r>
        <w:t>Rashodi pos</w:t>
      </w:r>
      <w:r>
        <w:t>lovanja: 4.595.437,45 Izvršenje 2024. 4.280.364,00; Izvorni plan 2025 4.799.165,53; Izvršenje 2026:Rashodi za nabavu nefinancijski imovine</w:t>
      </w:r>
      <w:r>
        <w:br/>
        <w:t>366.899,35 Izvršenje 2024.;191.764,00 Izvorni plan 2025;352.647,46 Izvršenje 2026</w:t>
      </w:r>
      <w:r>
        <w:br/>
        <w:t> Ukupni rashodi: 4.390.736,34 Izvrš</w:t>
      </w:r>
      <w:r>
        <w:t>enje 2024.;4.222.386,34 Izvorni plan 2025;4.851.086,34 Izvršenje 2026</w:t>
      </w:r>
      <w:r>
        <w:br/>
        <w:t> VIŠAK/MANJAK;204.701,11 Izvršenje 2024.;57.978,00 Izvorni plan 2025;-51.920,81 Izvršenje 2026</w:t>
      </w:r>
    </w:p>
    <w:p w:rsidR="00803916" w:rsidRDefault="0011124D">
      <w:r>
        <w:br/>
      </w:r>
    </w:p>
    <w:p w:rsidR="00803916" w:rsidRDefault="0011124D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803916" w:rsidRDefault="0011124D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039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39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3916" w:rsidRDefault="0080391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03916" w:rsidRDefault="001112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03916" w:rsidRDefault="00803916">
      <w:pPr>
        <w:spacing w:after="0"/>
      </w:pPr>
    </w:p>
    <w:p w:rsidR="00803916" w:rsidRDefault="0011124D">
      <w:r>
        <w:lastRenderedPageBreak/>
        <w:t> </w:t>
      </w:r>
      <w:r>
        <w:br/>
        <w:t>Stanje obveza na dan 01.01.2025. - 225.971,96 EURA</w:t>
      </w:r>
      <w:r>
        <w:br/>
        <w:t>Stanje obveza na kraju izvještajnog razdoblja  250.871,51  EURA</w:t>
      </w:r>
      <w:r>
        <w:br/>
        <w:t>Dospjele obveze 0</w:t>
      </w:r>
      <w:r>
        <w:br/>
      </w:r>
      <w:r>
        <w:t>Sve svoje obveze Hrvatski institut podmiruje u zakonskom roku.</w:t>
      </w:r>
    </w:p>
    <w:p w:rsidR="00803916" w:rsidRDefault="00803916"/>
    <w:p w:rsidR="00803916" w:rsidRDefault="0011124D">
      <w:pPr>
        <w:keepNext/>
        <w:spacing w:line="240" w:lineRule="auto"/>
        <w:jc w:val="center"/>
      </w:pPr>
      <w:r>
        <w:rPr>
          <w:sz w:val="28"/>
        </w:rPr>
        <w:t>Bilješka 3.</w:t>
      </w:r>
    </w:p>
    <w:p w:rsidR="00803916" w:rsidRDefault="0011124D">
      <w:pPr>
        <w:spacing w:line="240" w:lineRule="auto"/>
        <w:jc w:val="both"/>
      </w:pPr>
      <w:r>
        <w:rPr>
          <w:b/>
        </w:rPr>
        <w:t>EU izvještaj</w:t>
      </w:r>
    </w:p>
    <w:p w:rsidR="00803916" w:rsidRDefault="0011124D">
      <w:r>
        <w:t>U EU izvještaju ukupni primici ostvareni u izvještajnom razdoblju prethodne godine iznose 843.698,72 eura, a ostvareno u izvještajnom razdoblju tekuće godine iznosi 45</w:t>
      </w:r>
      <w:r>
        <w:t>1.553,07 eura. U prethodnoj godini, 2024. godine ostvareno je više prihoda zbog izvora 5.8.1. odnosno uplate po projektima NPOO.</w:t>
      </w:r>
    </w:p>
    <w:p w:rsidR="00803916" w:rsidRDefault="0011124D">
      <w:r>
        <w:t>Na izvoru financiranja 510 programi unije ostvareno u izvještajnom razdoblju prethodne godine je 507.778,72 eura, a ostvareno u</w:t>
      </w:r>
      <w:r>
        <w:t xml:space="preserve"> izvještajnom razdoblju 2025. godine je 371.653,07 eura. Navedeno se odnosi na eu projekte odnosno tekuće pomoći od institucija i tijela EU.</w:t>
      </w:r>
    </w:p>
    <w:p w:rsidR="00803916" w:rsidRDefault="0011124D">
      <w:r>
        <w:t>6323 Prihodi do 31.12.2025. godine  ostvareni po  projektu H2020 Superb u iznosu od 66.087,27 eur uplatitelj EFI,  </w:t>
      </w:r>
      <w:r>
        <w:t>projektu Horizon Transformit u iznosu od 105.060,27 eur uplatitelj EFI, projektu Erasmus Agro u iznosu od 6.740,00 eur, uplatitelj Universitet Beograd, , projekt OAKS iznos 36.124,12 eur, uplatitelj EFI, projekt Horizon Resonate iznos 18.836,56 eur, uplati</w:t>
      </w:r>
      <w:r>
        <w:t>telj EFI, projekt Clearing House u iznosu od 8.434,38 eur uplatitelj EFIm projekt LIFE u iznosu od 30.775,26 eura uplatitelj Univer. Firenza i projekt REBIFOREST u iznosu od 23.348,24 eura. 6381 Tekuće pomoći temeljem EU sredstava ostvareno je 76.246,97 eu</w:t>
      </w:r>
      <w:r>
        <w:t>ra. Prihod je ostvaren za projekt FORESIST, a uplatitelj je Grad Opatija.</w:t>
      </w:r>
    </w:p>
    <w:p w:rsidR="00803916" w:rsidRDefault="0011124D">
      <w:r>
        <w:t>Na izvoru financiranja 581 Mehanizam za oporavak i otpornost – bespovratna sredstva u izvještajnom razdoblju prethodne godine ostvareno je 335.920,00 eura, a u izvještajnom razdoblju</w:t>
      </w:r>
      <w:r>
        <w:t xml:space="preserve"> tekuće godine ostvareno je 79.900,00. Ugovoreni iznosi iz programskih ugovora za NPOO projekte.</w:t>
      </w:r>
    </w:p>
    <w:p w:rsidR="00803916" w:rsidRDefault="0011124D">
      <w:r>
        <w:t xml:space="preserve">Vezano za rashode poslovanje ostvareno u izvještajnom razdoblju prethodne godine iznose 349.680,18 eura, a tekuće godine 541.723,04 eura. Rashodi se odnose na </w:t>
      </w:r>
      <w:r>
        <w:t>rashode za zaposlene, materijalne rashode te rashode za nabavu proizvedene dugotrajne imovine. Od većih nabava nabavljeni su uređaji za potrebe ugovorenih projekata koji su u planu projekata.</w:t>
      </w:r>
    </w:p>
    <w:p w:rsidR="00803916" w:rsidRDefault="0011124D">
      <w:r>
        <w:t>Rashodi su ostvareni na izvodu financiranja 510 i 581. Izvor fin</w:t>
      </w:r>
      <w:r>
        <w:t>anciranja 581 veći rashodi u tekućoj godini i iznose 52.872,49 eura, a u prethodnom razdoblju 48.080,01. Rashodi planirani u NPOO ugovoru za navedene NPOO projekte po godinama</w:t>
      </w:r>
    </w:p>
    <w:p w:rsidR="00803916" w:rsidRDefault="00803916"/>
    <w:sectPr w:rsidR="008039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916"/>
    <w:rsid w:val="0011124D"/>
    <w:rsid w:val="0080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AB651F-06A7-4718-A0B8-FE343BE7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Visnic</dc:creator>
  <cp:lastModifiedBy>majda</cp:lastModifiedBy>
  <cp:revision>2</cp:revision>
  <dcterms:created xsi:type="dcterms:W3CDTF">2026-01-29T11:37:00Z</dcterms:created>
  <dcterms:modified xsi:type="dcterms:W3CDTF">2026-01-29T11:37:00Z</dcterms:modified>
</cp:coreProperties>
</file>